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FA" w:rsidRPr="00DE67FA" w:rsidRDefault="00DE67FA" w:rsidP="00DE67FA">
      <w:pPr>
        <w:shd w:val="clear" w:color="auto" w:fill="FFFFFF"/>
        <w:outlineLvl w:val="0"/>
        <w:rPr>
          <w:rFonts w:ascii="Verdana" w:eastAsia="Times New Roman" w:hAnsi="Verdana" w:cs="Times New Roman"/>
          <w:b/>
          <w:bCs/>
          <w:color w:val="0071BE"/>
          <w:kern w:val="36"/>
          <w:sz w:val="30"/>
          <w:szCs w:val="30"/>
          <w:lang w:eastAsia="es-ES"/>
        </w:rPr>
      </w:pPr>
      <w:r w:rsidRPr="00DE67FA">
        <w:rPr>
          <w:rFonts w:ascii="Verdana" w:eastAsia="Times New Roman" w:hAnsi="Verdana" w:cs="Times New Roman"/>
          <w:b/>
          <w:bCs/>
          <w:color w:val="0071BE"/>
          <w:kern w:val="36"/>
          <w:sz w:val="30"/>
          <w:szCs w:val="30"/>
          <w:lang w:eastAsia="es-ES"/>
        </w:rPr>
        <w:t>ORDENANZA FISCAL 2.11, REGULADORA DA TAXA POR PRESTACIÓN DO SERVICIO RECOLLIDA DE RESIDUOS</w:t>
      </w:r>
    </w:p>
    <w:p w:rsidR="00DE67FA" w:rsidRDefault="00DE67FA" w:rsidP="00DE67FA"/>
    <w:p w:rsidR="00DE67FA" w:rsidRDefault="00DE67FA" w:rsidP="00DE67FA"/>
    <w:p w:rsidR="00DE67FA" w:rsidRPr="00DE67FA" w:rsidRDefault="00DE67FA" w:rsidP="00DE67FA">
      <w:pPr>
        <w:ind w:firstLine="708"/>
        <w:rPr>
          <w:rFonts w:ascii="Verdana" w:hAnsi="Verdana"/>
          <w:b/>
          <w:bCs/>
          <w:color w:val="0071BE"/>
          <w:sz w:val="22"/>
          <w:shd w:val="clear" w:color="auto" w:fill="FFFFFF"/>
        </w:rPr>
      </w:pPr>
      <w:r w:rsidRPr="00DE67FA">
        <w:rPr>
          <w:rFonts w:ascii="Verdana" w:hAnsi="Verdana"/>
          <w:b/>
          <w:bCs/>
          <w:color w:val="0071BE"/>
          <w:sz w:val="22"/>
          <w:shd w:val="clear" w:color="auto" w:fill="FFFFFF"/>
        </w:rPr>
        <w:t>Artigo</w:t>
      </w:r>
      <w:r>
        <w:rPr>
          <w:rFonts w:ascii="Verdana" w:hAnsi="Verdana"/>
          <w:b/>
          <w:bCs/>
          <w:color w:val="0071BE"/>
          <w:sz w:val="22"/>
          <w:shd w:val="clear" w:color="auto" w:fill="FFFFFF"/>
        </w:rPr>
        <w:t xml:space="preserve"> 1º.</w:t>
      </w:r>
      <w:r w:rsidRPr="00DE67FA">
        <w:rPr>
          <w:rFonts w:ascii="Verdana" w:hAnsi="Verdana"/>
          <w:b/>
          <w:bCs/>
          <w:color w:val="0071BE"/>
          <w:sz w:val="22"/>
          <w:shd w:val="clear" w:color="auto" w:fill="FFFFFF"/>
        </w:rPr>
        <w:t xml:space="preserve"> Fundamento e natureza</w:t>
      </w:r>
    </w:p>
    <w:p w:rsidR="00DE67FA" w:rsidRDefault="00DE67FA" w:rsidP="00DE67FA"/>
    <w:p w:rsidR="00DE67FA" w:rsidRDefault="00DE67FA" w:rsidP="00DE67FA">
      <w:r>
        <w:t>De conformidade co previsto no Real Decreto Legislativo 2/2004, de 5 de marzo, polo que apróbase o texto Refundido da lei das facendas locais, este Concello establece a taxa pola prestación do servicio recollida, transporte e tratamento de residuos, que se rexerá pola presente Ordenanza e demáis normativa de aplicación.</w:t>
      </w:r>
    </w:p>
    <w:p w:rsidR="00DE67FA" w:rsidRDefault="00DE67FA" w:rsidP="00DE67FA"/>
    <w:p w:rsidR="00DE67FA" w:rsidRDefault="00DE67FA" w:rsidP="00DE67FA"/>
    <w:p w:rsidR="00DE67FA" w:rsidRPr="00DE67FA" w:rsidRDefault="00DE67FA" w:rsidP="00DE67FA">
      <w:pPr>
        <w:ind w:firstLine="708"/>
        <w:rPr>
          <w:rFonts w:ascii="Verdana" w:hAnsi="Verdana"/>
          <w:b/>
          <w:bCs/>
          <w:color w:val="0071BE"/>
          <w:sz w:val="22"/>
          <w:shd w:val="clear" w:color="auto" w:fill="FFFFFF"/>
        </w:rPr>
      </w:pPr>
      <w:r w:rsidRPr="00DE67FA">
        <w:rPr>
          <w:rFonts w:ascii="Verdana" w:hAnsi="Verdana"/>
          <w:b/>
          <w:bCs/>
          <w:color w:val="0071BE"/>
          <w:sz w:val="22"/>
          <w:shd w:val="clear" w:color="auto" w:fill="FFFFFF"/>
        </w:rPr>
        <w:t>Artigo 2º. Feito imponible</w:t>
      </w:r>
    </w:p>
    <w:p w:rsidR="00DE67FA" w:rsidRDefault="00DE67FA" w:rsidP="00DE67FA"/>
    <w:p w:rsidR="00DE67FA" w:rsidRDefault="00DE67FA" w:rsidP="00DE67FA">
      <w:r>
        <w:t>Constitue o feito impoñible desta taxa a actividade administrativa, de recepción obrigatoria, da prestación do servizo de recollida, transporte e tratamento de residuos domésticos e comerciais, en vivendas ou locales onde se exerzan actividades comerciais, industriais, profesionais, servicios ou calquera outra actividade, de acordo coas definicións recollidas na lei 22/2011, de 28 de xullo, de residuos e solos contaminados.</w:t>
      </w:r>
    </w:p>
    <w:p w:rsidR="00DE67FA" w:rsidRDefault="00DE67FA" w:rsidP="00DE67FA"/>
    <w:p w:rsidR="00DE67FA" w:rsidRDefault="00DE67FA" w:rsidP="00DE67FA"/>
    <w:p w:rsidR="00DE67FA" w:rsidRPr="00DE67FA" w:rsidRDefault="00DE67FA" w:rsidP="00DE67FA">
      <w:pPr>
        <w:ind w:firstLine="708"/>
        <w:rPr>
          <w:rFonts w:ascii="Verdana" w:hAnsi="Verdana"/>
          <w:b/>
          <w:bCs/>
          <w:color w:val="0071BE"/>
          <w:sz w:val="22"/>
          <w:shd w:val="clear" w:color="auto" w:fill="FFFFFF"/>
        </w:rPr>
      </w:pPr>
      <w:r w:rsidRPr="00DE67FA">
        <w:rPr>
          <w:rFonts w:ascii="Verdana" w:hAnsi="Verdana"/>
          <w:b/>
          <w:bCs/>
          <w:color w:val="0071BE"/>
          <w:sz w:val="22"/>
          <w:shd w:val="clear" w:color="auto" w:fill="FFFFFF"/>
        </w:rPr>
        <w:t>Artigo 3º. Suxeito pasivo</w:t>
      </w:r>
    </w:p>
    <w:p w:rsidR="00DE67FA" w:rsidRDefault="00DE67FA" w:rsidP="00DE67FA"/>
    <w:p w:rsidR="00DE67FA" w:rsidRDefault="00DE67FA" w:rsidP="00DE67FA">
      <w:r>
        <w:t>1.-Son suxeitos pasivos contribuíntes as persoas físicas ou xurídicas e as entidades a que se refire o artigo 35.4 da Lei Xeral Tributaria que ocupen, utilicen ou dispoñan de vivendas ou locais suxeitos á taxa sexan a título de propietario ou de usufructuario, habitacionista, arrendatario, ou incluso de precario.</w:t>
      </w:r>
    </w:p>
    <w:p w:rsidR="00DE67FA" w:rsidRDefault="00DE67FA" w:rsidP="00DE67FA"/>
    <w:p w:rsidR="00DE67FA" w:rsidRDefault="00DE67FA" w:rsidP="00DE67FA">
      <w:r>
        <w:t>2.-Terá a consideración de suxeito pasivo substituto do contribuínte o propietario das vivendas ou locais, que poderá repercutir, no seu caso, as cotas satisfeitas sobre os usuarios de aqueles beneficiarios do servicio.</w:t>
      </w:r>
    </w:p>
    <w:p w:rsidR="00DE67FA" w:rsidRDefault="00DE67FA" w:rsidP="00DE67FA"/>
    <w:p w:rsidR="00DE67FA" w:rsidRDefault="00DE67FA" w:rsidP="00DE67FA"/>
    <w:p w:rsidR="00DE67FA" w:rsidRPr="00DE67FA" w:rsidRDefault="00DE67FA" w:rsidP="00DE67FA">
      <w:pPr>
        <w:ind w:firstLine="708"/>
        <w:rPr>
          <w:rFonts w:ascii="Verdana" w:hAnsi="Verdana"/>
          <w:b/>
          <w:bCs/>
          <w:color w:val="0071BE"/>
          <w:sz w:val="22"/>
          <w:shd w:val="clear" w:color="auto" w:fill="FFFFFF"/>
        </w:rPr>
      </w:pPr>
      <w:r w:rsidRPr="00DE67FA">
        <w:rPr>
          <w:rFonts w:ascii="Verdana" w:hAnsi="Verdana"/>
          <w:b/>
          <w:bCs/>
          <w:color w:val="0071BE"/>
          <w:sz w:val="22"/>
          <w:shd w:val="clear" w:color="auto" w:fill="FFFFFF"/>
        </w:rPr>
        <w:t>Artigo 4º. Exencions e bonificacions</w:t>
      </w:r>
    </w:p>
    <w:p w:rsidR="00DE67FA" w:rsidRDefault="00DE67FA" w:rsidP="00DE67FA"/>
    <w:p w:rsidR="00DE67FA" w:rsidRDefault="00DE67FA" w:rsidP="00DE67FA">
      <w:r>
        <w:t>So admitiranse os beneficios fiscais que veñan establecidos nas normas con rango de Lei ou deriven de tratados ou acordos internacionais.</w:t>
      </w:r>
    </w:p>
    <w:p w:rsidR="00DE67FA" w:rsidRDefault="00DE67FA" w:rsidP="00DE67FA"/>
    <w:p w:rsidR="00DE67FA" w:rsidRDefault="00DE67FA" w:rsidP="00DE67FA"/>
    <w:p w:rsidR="00DE67FA" w:rsidRPr="00DE67FA" w:rsidRDefault="00DE67FA" w:rsidP="00DE67FA">
      <w:pPr>
        <w:ind w:firstLine="708"/>
        <w:rPr>
          <w:rFonts w:ascii="Verdana" w:hAnsi="Verdana"/>
          <w:b/>
          <w:bCs/>
          <w:color w:val="0071BE"/>
          <w:sz w:val="22"/>
          <w:shd w:val="clear" w:color="auto" w:fill="FFFFFF"/>
        </w:rPr>
      </w:pPr>
      <w:r w:rsidRPr="00DE67FA">
        <w:rPr>
          <w:rFonts w:ascii="Verdana" w:hAnsi="Verdana"/>
          <w:b/>
          <w:bCs/>
          <w:color w:val="0071BE"/>
          <w:sz w:val="22"/>
          <w:shd w:val="clear" w:color="auto" w:fill="FFFFFF"/>
        </w:rPr>
        <w:t>Artigo 5º. Cota tributaria</w:t>
      </w:r>
    </w:p>
    <w:p w:rsidR="00DE67FA" w:rsidRDefault="00DE67FA" w:rsidP="00DE67FA"/>
    <w:p w:rsidR="00DE67FA" w:rsidRDefault="00DE67FA" w:rsidP="00DE67FA">
      <w:r>
        <w:t>1.-A cota Tributaria consistirá nunha cantidade fixa, por unidade de inmoble o local, que se determinará en función da natureza ou destino dos inmobles.</w:t>
      </w:r>
    </w:p>
    <w:p w:rsidR="00DE67FA" w:rsidRDefault="00DE67FA" w:rsidP="00DE67FA"/>
    <w:p w:rsidR="00DE67FA" w:rsidRDefault="00DE67FA" w:rsidP="00DE67FA">
      <w:r>
        <w:t>2.-A tal efecto, aplicarase as seguintes tarifas:</w:t>
      </w:r>
    </w:p>
    <w:p w:rsidR="00DE67FA" w:rsidRDefault="00DE67FA" w:rsidP="00DE67FA"/>
    <w:p w:rsidR="00DE67FA" w:rsidRDefault="00DE67FA" w:rsidP="00DE67FA"/>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36"/>
        <w:gridCol w:w="5025"/>
        <w:gridCol w:w="1360"/>
        <w:gridCol w:w="729"/>
        <w:gridCol w:w="744"/>
      </w:tblGrid>
      <w:tr w:rsidR="007F1848" w:rsidRPr="00DE67FA" w:rsidTr="007F1848">
        <w:trPr>
          <w:tblCellSpacing w:w="15" w:type="dxa"/>
        </w:trPr>
        <w:tc>
          <w:tcPr>
            <w:tcW w:w="402"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Epígrafe</w:t>
            </w:r>
          </w:p>
        </w:tc>
        <w:tc>
          <w:tcPr>
            <w:tcW w:w="2906"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Concepto</w:t>
            </w:r>
          </w:p>
        </w:tc>
        <w:tc>
          <w:tcPr>
            <w:tcW w:w="774"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Cota anual</w:t>
            </w:r>
          </w:p>
        </w:tc>
        <w:tc>
          <w:tcPr>
            <w:tcW w:w="407"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Mínimo</w:t>
            </w:r>
          </w:p>
        </w:tc>
        <w:tc>
          <w:tcPr>
            <w:tcW w:w="407" w:type="pct"/>
            <w:shd w:val="clear" w:color="auto" w:fill="FFFFFF"/>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Máximo</w:t>
            </w:r>
          </w:p>
        </w:tc>
      </w:tr>
      <w:tr w:rsidR="007F1848" w:rsidRPr="00DE67FA" w:rsidTr="007F1848">
        <w:trPr>
          <w:tblCellSpacing w:w="15" w:type="dxa"/>
        </w:trPr>
        <w:tc>
          <w:tcPr>
            <w:tcW w:w="402"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1.1</w:t>
            </w:r>
          </w:p>
        </w:tc>
        <w:tc>
          <w:tcPr>
            <w:tcW w:w="2906"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Vivendas recollida en zona urbana</w:t>
            </w:r>
          </w:p>
        </w:tc>
        <w:tc>
          <w:tcPr>
            <w:tcW w:w="774"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63,00 €</w:t>
            </w:r>
          </w:p>
        </w:tc>
        <w:tc>
          <w:tcPr>
            <w:tcW w:w="407" w:type="pct"/>
            <w:shd w:val="clear" w:color="auto" w:fill="FFFFFF"/>
            <w:vAlign w:val="center"/>
            <w:hideMark/>
          </w:tcPr>
          <w:p w:rsidR="007F1848" w:rsidRPr="00DE67FA" w:rsidRDefault="007F1848" w:rsidP="00DE67FA">
            <w:pPr>
              <w:jc w:val="left"/>
              <w:rPr>
                <w:rFonts w:ascii="Verdana" w:eastAsia="Times New Roman" w:hAnsi="Verdana" w:cs="Times New Roman"/>
                <w:sz w:val="16"/>
                <w:szCs w:val="16"/>
                <w:lang w:eastAsia="es-ES"/>
              </w:rPr>
            </w:pPr>
          </w:p>
        </w:tc>
        <w:tc>
          <w:tcPr>
            <w:tcW w:w="407" w:type="pct"/>
            <w:shd w:val="clear" w:color="auto" w:fill="FFFFFF"/>
          </w:tcPr>
          <w:p w:rsidR="007F1848" w:rsidRPr="00DE67FA" w:rsidRDefault="007F1848" w:rsidP="00DE67FA">
            <w:pPr>
              <w:jc w:val="left"/>
              <w:rPr>
                <w:rFonts w:ascii="Verdana" w:eastAsia="Times New Roman" w:hAnsi="Verdana" w:cs="Times New Roman"/>
                <w:sz w:val="16"/>
                <w:szCs w:val="16"/>
                <w:lang w:eastAsia="es-ES"/>
              </w:rPr>
            </w:pPr>
          </w:p>
        </w:tc>
      </w:tr>
      <w:tr w:rsidR="007F1848" w:rsidRPr="00DE67FA" w:rsidTr="007F1848">
        <w:trPr>
          <w:tblCellSpacing w:w="15" w:type="dxa"/>
        </w:trPr>
        <w:tc>
          <w:tcPr>
            <w:tcW w:w="402"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1.2</w:t>
            </w:r>
          </w:p>
        </w:tc>
        <w:tc>
          <w:tcPr>
            <w:tcW w:w="2944"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Vivendas recollida no resto de zonas</w:t>
            </w:r>
          </w:p>
        </w:tc>
        <w:tc>
          <w:tcPr>
            <w:tcW w:w="788"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47,00 €</w:t>
            </w:r>
          </w:p>
        </w:tc>
        <w:tc>
          <w:tcPr>
            <w:tcW w:w="407" w:type="pct"/>
            <w:shd w:val="clear" w:color="auto" w:fill="FFFFFF"/>
            <w:vAlign w:val="center"/>
            <w:hideMark/>
          </w:tcPr>
          <w:p w:rsidR="007F1848" w:rsidRPr="00DE67FA" w:rsidRDefault="007F1848" w:rsidP="00DE67FA">
            <w:pPr>
              <w:jc w:val="left"/>
              <w:rPr>
                <w:rFonts w:ascii="Verdana" w:eastAsia="Times New Roman" w:hAnsi="Verdana" w:cs="Times New Roman"/>
                <w:sz w:val="16"/>
                <w:szCs w:val="16"/>
                <w:lang w:eastAsia="es-ES"/>
              </w:rPr>
            </w:pPr>
          </w:p>
        </w:tc>
        <w:tc>
          <w:tcPr>
            <w:tcW w:w="354" w:type="pct"/>
            <w:shd w:val="clear" w:color="auto" w:fill="FFFFFF"/>
          </w:tcPr>
          <w:p w:rsidR="007F1848" w:rsidRPr="00DE67FA" w:rsidRDefault="007F1848" w:rsidP="00DE67FA">
            <w:pPr>
              <w:jc w:val="left"/>
              <w:rPr>
                <w:rFonts w:ascii="Verdana" w:eastAsia="Times New Roman" w:hAnsi="Verdana" w:cs="Times New Roman"/>
                <w:sz w:val="16"/>
                <w:szCs w:val="16"/>
                <w:lang w:eastAsia="es-ES"/>
              </w:rPr>
            </w:pPr>
          </w:p>
        </w:tc>
      </w:tr>
      <w:tr w:rsidR="007F1848" w:rsidRPr="00DE67FA" w:rsidTr="007F1848">
        <w:trPr>
          <w:tblCellSpacing w:w="15" w:type="dxa"/>
        </w:trPr>
        <w:tc>
          <w:tcPr>
            <w:tcW w:w="402"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2.1</w:t>
            </w:r>
          </w:p>
        </w:tc>
        <w:tc>
          <w:tcPr>
            <w:tcW w:w="2944"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Bares, restaurantes, salas de festa e similares (por m2)</w:t>
            </w:r>
          </w:p>
        </w:tc>
        <w:tc>
          <w:tcPr>
            <w:tcW w:w="788"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2,20 €/ m²</w:t>
            </w:r>
          </w:p>
        </w:tc>
        <w:tc>
          <w:tcPr>
            <w:tcW w:w="407"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140,00</w:t>
            </w:r>
            <w:r w:rsidRPr="00DE67FA">
              <w:rPr>
                <w:rFonts w:ascii="Verdana" w:eastAsia="Times New Roman" w:hAnsi="Verdana" w:cs="Times New Roman"/>
                <w:sz w:val="16"/>
                <w:szCs w:val="16"/>
                <w:lang w:eastAsia="es-ES"/>
              </w:rPr>
              <w:t>€</w:t>
            </w:r>
          </w:p>
        </w:tc>
        <w:tc>
          <w:tcPr>
            <w:tcW w:w="354" w:type="pct"/>
            <w:shd w:val="clear" w:color="auto" w:fill="FFFFFF"/>
          </w:tcPr>
          <w:p w:rsidR="007F1848"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680,00€</w:t>
            </w:r>
          </w:p>
        </w:tc>
      </w:tr>
      <w:tr w:rsidR="007F1848" w:rsidRPr="00DE67FA" w:rsidTr="007F1848">
        <w:trPr>
          <w:tblCellSpacing w:w="15" w:type="dxa"/>
        </w:trPr>
        <w:tc>
          <w:tcPr>
            <w:tcW w:w="402"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2.2</w:t>
            </w:r>
          </w:p>
        </w:tc>
        <w:tc>
          <w:tcPr>
            <w:tcW w:w="2944"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 xml:space="preserve">Comercios de alimentación, autoservicios e supermercados </w:t>
            </w:r>
            <w:r>
              <w:rPr>
                <w:rFonts w:ascii="Verdana" w:eastAsia="Times New Roman" w:hAnsi="Verdana" w:cs="Times New Roman"/>
                <w:sz w:val="16"/>
                <w:szCs w:val="16"/>
                <w:lang w:eastAsia="es-ES"/>
              </w:rPr>
              <w:t>ata 800m²(por m²</w:t>
            </w:r>
            <w:r w:rsidRPr="00DE67FA">
              <w:rPr>
                <w:rFonts w:ascii="Verdana" w:eastAsia="Times New Roman" w:hAnsi="Verdana" w:cs="Times New Roman"/>
                <w:sz w:val="16"/>
                <w:szCs w:val="16"/>
                <w:lang w:eastAsia="es-ES"/>
              </w:rPr>
              <w:t>)</w:t>
            </w:r>
          </w:p>
        </w:tc>
        <w:tc>
          <w:tcPr>
            <w:tcW w:w="788"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2,95 €/ m²</w:t>
            </w:r>
          </w:p>
        </w:tc>
        <w:tc>
          <w:tcPr>
            <w:tcW w:w="407"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180,00</w:t>
            </w:r>
            <w:r w:rsidRPr="00DE67FA">
              <w:rPr>
                <w:rFonts w:ascii="Verdana" w:eastAsia="Times New Roman" w:hAnsi="Verdana" w:cs="Times New Roman"/>
                <w:sz w:val="16"/>
                <w:szCs w:val="16"/>
                <w:lang w:eastAsia="es-ES"/>
              </w:rPr>
              <w:t>€</w:t>
            </w:r>
          </w:p>
        </w:tc>
        <w:tc>
          <w:tcPr>
            <w:tcW w:w="354" w:type="pct"/>
            <w:shd w:val="clear" w:color="auto" w:fill="FFFFFF"/>
          </w:tcPr>
          <w:p w:rsidR="007F1848" w:rsidRDefault="007F1848" w:rsidP="00DE67FA">
            <w:pPr>
              <w:spacing w:before="100" w:beforeAutospacing="1" w:after="100" w:afterAutospacing="1"/>
              <w:rPr>
                <w:rFonts w:ascii="Verdana" w:eastAsia="Times New Roman" w:hAnsi="Verdana" w:cs="Times New Roman"/>
                <w:sz w:val="16"/>
                <w:szCs w:val="16"/>
                <w:lang w:eastAsia="es-ES"/>
              </w:rPr>
            </w:pPr>
          </w:p>
        </w:tc>
      </w:tr>
      <w:tr w:rsidR="007F1848" w:rsidRPr="00DE67FA" w:rsidTr="007F1848">
        <w:trPr>
          <w:tblCellSpacing w:w="15" w:type="dxa"/>
        </w:trPr>
        <w:tc>
          <w:tcPr>
            <w:tcW w:w="402" w:type="pct"/>
            <w:shd w:val="clear" w:color="auto" w:fill="FFFFFF"/>
            <w:vAlign w:val="center"/>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2.2.1</w:t>
            </w:r>
          </w:p>
        </w:tc>
        <w:tc>
          <w:tcPr>
            <w:tcW w:w="2944" w:type="pct"/>
            <w:shd w:val="clear" w:color="auto" w:fill="FFFFFF"/>
            <w:vAlign w:val="center"/>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Comercios de alimentación, autoservicios e supermercados</w:t>
            </w:r>
            <w:r>
              <w:rPr>
                <w:rFonts w:ascii="Verdana" w:eastAsia="Times New Roman" w:hAnsi="Verdana" w:cs="Times New Roman"/>
                <w:sz w:val="16"/>
                <w:szCs w:val="16"/>
                <w:lang w:eastAsia="es-ES"/>
              </w:rPr>
              <w:t>de mais de 800 m</w:t>
            </w:r>
            <w:r>
              <w:rPr>
                <w:rFonts w:ascii="Verdana" w:eastAsia="Times New Roman" w:hAnsi="Verdana" w:cs="Times New Roman"/>
                <w:sz w:val="16"/>
                <w:szCs w:val="16"/>
                <w:lang w:eastAsia="es-ES"/>
              </w:rPr>
              <w:t>²</w:t>
            </w:r>
            <w:r>
              <w:rPr>
                <w:rFonts w:ascii="Verdana" w:eastAsia="Times New Roman" w:hAnsi="Verdana" w:cs="Times New Roman"/>
                <w:sz w:val="16"/>
                <w:szCs w:val="16"/>
                <w:lang w:eastAsia="es-ES"/>
              </w:rPr>
              <w:t xml:space="preserve"> (por cada </w:t>
            </w:r>
            <w:r>
              <w:rPr>
                <w:rFonts w:ascii="Verdana" w:eastAsia="Times New Roman" w:hAnsi="Verdana" w:cs="Times New Roman"/>
                <w:sz w:val="16"/>
                <w:szCs w:val="16"/>
                <w:lang w:eastAsia="es-ES"/>
              </w:rPr>
              <w:t>m²</w:t>
            </w:r>
            <w:r>
              <w:rPr>
                <w:rFonts w:ascii="Verdana" w:eastAsia="Times New Roman" w:hAnsi="Verdana" w:cs="Times New Roman"/>
                <w:sz w:val="16"/>
                <w:szCs w:val="16"/>
                <w:lang w:eastAsia="es-ES"/>
              </w:rPr>
              <w:t>)</w:t>
            </w:r>
          </w:p>
        </w:tc>
        <w:tc>
          <w:tcPr>
            <w:tcW w:w="788" w:type="pct"/>
            <w:shd w:val="clear" w:color="auto" w:fill="FFFFFF"/>
            <w:vAlign w:val="center"/>
          </w:tcPr>
          <w:p w:rsidR="007F1848" w:rsidRPr="00DE67FA" w:rsidRDefault="007F1848" w:rsidP="00DE67FA">
            <w:pPr>
              <w:jc w:val="left"/>
              <w:rPr>
                <w:rFonts w:ascii="Verdana" w:eastAsia="Times New Roman" w:hAnsi="Verdana" w:cs="Times New Roman"/>
                <w:sz w:val="16"/>
                <w:szCs w:val="16"/>
                <w:lang w:eastAsia="es-ES"/>
              </w:rPr>
            </w:pPr>
            <w:r>
              <w:rPr>
                <w:rFonts w:ascii="Verdana" w:eastAsia="Times New Roman" w:hAnsi="Verdana" w:cs="Times New Roman"/>
                <w:sz w:val="16"/>
                <w:szCs w:val="16"/>
                <w:lang w:eastAsia="es-ES"/>
              </w:rPr>
              <w:t>3,15€/ m²</w:t>
            </w:r>
          </w:p>
        </w:tc>
        <w:tc>
          <w:tcPr>
            <w:tcW w:w="407" w:type="pct"/>
            <w:shd w:val="clear" w:color="auto" w:fill="FFFFFF"/>
            <w:vAlign w:val="center"/>
          </w:tcPr>
          <w:p w:rsidR="007F1848" w:rsidRPr="00DE67FA" w:rsidRDefault="007F1848" w:rsidP="00DE67FA">
            <w:pPr>
              <w:jc w:val="left"/>
              <w:rPr>
                <w:rFonts w:ascii="Verdana" w:eastAsia="Times New Roman" w:hAnsi="Verdana" w:cs="Times New Roman"/>
                <w:sz w:val="16"/>
                <w:szCs w:val="16"/>
                <w:lang w:eastAsia="es-ES"/>
              </w:rPr>
            </w:pPr>
          </w:p>
        </w:tc>
        <w:tc>
          <w:tcPr>
            <w:tcW w:w="354" w:type="pct"/>
            <w:shd w:val="clear" w:color="auto" w:fill="FFFFFF"/>
          </w:tcPr>
          <w:p w:rsidR="007F1848" w:rsidRPr="00DE67FA" w:rsidRDefault="007F1848" w:rsidP="00DE67FA">
            <w:pPr>
              <w:jc w:val="left"/>
              <w:rPr>
                <w:rFonts w:ascii="Verdana" w:eastAsia="Times New Roman" w:hAnsi="Verdana" w:cs="Times New Roman"/>
                <w:sz w:val="16"/>
                <w:szCs w:val="16"/>
                <w:lang w:eastAsia="es-ES"/>
              </w:rPr>
            </w:pPr>
          </w:p>
        </w:tc>
      </w:tr>
      <w:tr w:rsidR="007F1848" w:rsidRPr="00DE67FA" w:rsidTr="007F1848">
        <w:trPr>
          <w:tblCellSpacing w:w="15" w:type="dxa"/>
        </w:trPr>
        <w:tc>
          <w:tcPr>
            <w:tcW w:w="402"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2.3</w:t>
            </w:r>
          </w:p>
        </w:tc>
        <w:tc>
          <w:tcPr>
            <w:tcW w:w="2944"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Residencias, pensións, e outros establecementos hoteleiros e similares</w:t>
            </w:r>
          </w:p>
        </w:tc>
        <w:tc>
          <w:tcPr>
            <w:tcW w:w="788" w:type="pct"/>
            <w:shd w:val="clear" w:color="auto" w:fill="FFFFFF"/>
            <w:vAlign w:val="center"/>
            <w:hideMark/>
          </w:tcPr>
          <w:p w:rsidR="007F1848" w:rsidRPr="00DE67FA" w:rsidRDefault="007F1848" w:rsidP="00DE67FA">
            <w:pPr>
              <w:jc w:val="left"/>
              <w:rPr>
                <w:rFonts w:ascii="Verdana" w:eastAsia="Times New Roman" w:hAnsi="Verdana" w:cs="Times New Roman"/>
                <w:sz w:val="16"/>
                <w:szCs w:val="16"/>
                <w:lang w:eastAsia="es-ES"/>
              </w:rPr>
            </w:pPr>
          </w:p>
        </w:tc>
        <w:tc>
          <w:tcPr>
            <w:tcW w:w="407" w:type="pct"/>
            <w:shd w:val="clear" w:color="auto" w:fill="FFFFFF"/>
            <w:vAlign w:val="center"/>
            <w:hideMark/>
          </w:tcPr>
          <w:p w:rsidR="007F1848" w:rsidRPr="00DE67FA" w:rsidRDefault="007F1848" w:rsidP="00DE67FA">
            <w:pPr>
              <w:jc w:val="left"/>
              <w:rPr>
                <w:rFonts w:ascii="Verdana" w:eastAsia="Times New Roman" w:hAnsi="Verdana" w:cs="Times New Roman"/>
                <w:sz w:val="16"/>
                <w:szCs w:val="16"/>
                <w:lang w:eastAsia="es-ES"/>
              </w:rPr>
            </w:pPr>
          </w:p>
        </w:tc>
        <w:tc>
          <w:tcPr>
            <w:tcW w:w="354" w:type="pct"/>
            <w:shd w:val="clear" w:color="auto" w:fill="FFFFFF"/>
          </w:tcPr>
          <w:p w:rsidR="007F1848" w:rsidRPr="00DE67FA" w:rsidRDefault="007F1848" w:rsidP="00DE67FA">
            <w:pPr>
              <w:jc w:val="left"/>
              <w:rPr>
                <w:rFonts w:ascii="Verdana" w:eastAsia="Times New Roman" w:hAnsi="Verdana" w:cs="Times New Roman"/>
                <w:sz w:val="16"/>
                <w:szCs w:val="16"/>
                <w:lang w:eastAsia="es-ES"/>
              </w:rPr>
            </w:pPr>
          </w:p>
        </w:tc>
      </w:tr>
      <w:tr w:rsidR="007F1848" w:rsidRPr="00DE67FA" w:rsidTr="007F1848">
        <w:trPr>
          <w:tblCellSpacing w:w="15" w:type="dxa"/>
        </w:trPr>
        <w:tc>
          <w:tcPr>
            <w:tcW w:w="402"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2.3.1</w:t>
            </w:r>
          </w:p>
        </w:tc>
        <w:tc>
          <w:tcPr>
            <w:tcW w:w="2944"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sym w:font="Symbol" w:char="F0D8"/>
            </w:r>
            <w:r w:rsidRPr="00DE67FA">
              <w:rPr>
                <w:rFonts w:ascii="Verdana" w:eastAsia="Times New Roman" w:hAnsi="Verdana" w:cs="Times New Roman"/>
                <w:sz w:val="16"/>
                <w:szCs w:val="16"/>
                <w:lang w:eastAsia="es-ES"/>
              </w:rPr>
              <w:t xml:space="preserve"> Ata 5 prazas</w:t>
            </w:r>
          </w:p>
        </w:tc>
        <w:tc>
          <w:tcPr>
            <w:tcW w:w="788"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116,00 €</w:t>
            </w:r>
          </w:p>
        </w:tc>
        <w:tc>
          <w:tcPr>
            <w:tcW w:w="407" w:type="pct"/>
            <w:shd w:val="clear" w:color="auto" w:fill="FFFFFF"/>
            <w:vAlign w:val="center"/>
            <w:hideMark/>
          </w:tcPr>
          <w:p w:rsidR="007F1848" w:rsidRPr="00DE67FA" w:rsidRDefault="007F1848" w:rsidP="00DE67FA">
            <w:pPr>
              <w:jc w:val="left"/>
              <w:rPr>
                <w:rFonts w:ascii="Verdana" w:eastAsia="Times New Roman" w:hAnsi="Verdana" w:cs="Times New Roman"/>
                <w:sz w:val="16"/>
                <w:szCs w:val="16"/>
                <w:lang w:eastAsia="es-ES"/>
              </w:rPr>
            </w:pPr>
          </w:p>
        </w:tc>
        <w:tc>
          <w:tcPr>
            <w:tcW w:w="354" w:type="pct"/>
            <w:shd w:val="clear" w:color="auto" w:fill="FFFFFF"/>
          </w:tcPr>
          <w:p w:rsidR="007F1848" w:rsidRPr="00DE67FA" w:rsidRDefault="007F1848" w:rsidP="00DE67FA">
            <w:pPr>
              <w:jc w:val="left"/>
              <w:rPr>
                <w:rFonts w:ascii="Verdana" w:eastAsia="Times New Roman" w:hAnsi="Verdana" w:cs="Times New Roman"/>
                <w:sz w:val="16"/>
                <w:szCs w:val="16"/>
                <w:lang w:eastAsia="es-ES"/>
              </w:rPr>
            </w:pPr>
          </w:p>
        </w:tc>
      </w:tr>
      <w:tr w:rsidR="007F1848" w:rsidRPr="00DE67FA" w:rsidTr="007F1848">
        <w:trPr>
          <w:tblCellSpacing w:w="15" w:type="dxa"/>
        </w:trPr>
        <w:tc>
          <w:tcPr>
            <w:tcW w:w="402"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2.3.2</w:t>
            </w:r>
          </w:p>
        </w:tc>
        <w:tc>
          <w:tcPr>
            <w:tcW w:w="2944"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sym w:font="Symbol" w:char="F0D8"/>
            </w:r>
            <w:r w:rsidRPr="00DE67FA">
              <w:rPr>
                <w:rFonts w:ascii="Verdana" w:eastAsia="Times New Roman" w:hAnsi="Verdana" w:cs="Times New Roman"/>
                <w:sz w:val="16"/>
                <w:szCs w:val="16"/>
                <w:lang w:eastAsia="es-ES"/>
              </w:rPr>
              <w:t xml:space="preserve"> De 6 prazas en adiante, por praza</w:t>
            </w:r>
          </w:p>
        </w:tc>
        <w:tc>
          <w:tcPr>
            <w:tcW w:w="788"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 xml:space="preserve">11,00 </w:t>
            </w:r>
            <w:r w:rsidRPr="00DE67FA">
              <w:rPr>
                <w:rFonts w:ascii="Verdana" w:eastAsia="Times New Roman" w:hAnsi="Verdana" w:cs="Times New Roman"/>
                <w:sz w:val="16"/>
                <w:szCs w:val="16"/>
                <w:lang w:eastAsia="es-ES"/>
              </w:rPr>
              <w:t>€/praza adicional</w:t>
            </w:r>
          </w:p>
        </w:tc>
        <w:tc>
          <w:tcPr>
            <w:tcW w:w="407" w:type="pct"/>
            <w:shd w:val="clear" w:color="auto" w:fill="FFFFFF"/>
            <w:vAlign w:val="center"/>
            <w:hideMark/>
          </w:tcPr>
          <w:p w:rsidR="007F1848" w:rsidRPr="00DE67FA" w:rsidRDefault="007F1848" w:rsidP="00DE67FA">
            <w:pPr>
              <w:jc w:val="left"/>
              <w:rPr>
                <w:rFonts w:ascii="Verdana" w:eastAsia="Times New Roman" w:hAnsi="Verdana" w:cs="Times New Roman"/>
                <w:sz w:val="16"/>
                <w:szCs w:val="16"/>
                <w:lang w:eastAsia="es-ES"/>
              </w:rPr>
            </w:pPr>
          </w:p>
        </w:tc>
        <w:tc>
          <w:tcPr>
            <w:tcW w:w="354" w:type="pct"/>
            <w:shd w:val="clear" w:color="auto" w:fill="FFFFFF"/>
          </w:tcPr>
          <w:p w:rsidR="007F1848" w:rsidRPr="00DE67FA" w:rsidRDefault="007F1848" w:rsidP="00DE67FA">
            <w:pPr>
              <w:jc w:val="left"/>
              <w:rPr>
                <w:rFonts w:ascii="Verdana" w:eastAsia="Times New Roman" w:hAnsi="Verdana" w:cs="Times New Roman"/>
                <w:sz w:val="16"/>
                <w:szCs w:val="16"/>
                <w:lang w:eastAsia="es-ES"/>
              </w:rPr>
            </w:pPr>
          </w:p>
        </w:tc>
      </w:tr>
      <w:tr w:rsidR="007F1848" w:rsidRPr="00DE67FA" w:rsidTr="007F1848">
        <w:trPr>
          <w:tblCellSpacing w:w="15" w:type="dxa"/>
        </w:trPr>
        <w:tc>
          <w:tcPr>
            <w:tcW w:w="402"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2.4</w:t>
            </w:r>
          </w:p>
        </w:tc>
        <w:tc>
          <w:tcPr>
            <w:tcW w:w="2944"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Locales adicados a Centros de ensino, estudios, despachos, oficinas e similares</w:t>
            </w:r>
          </w:p>
        </w:tc>
        <w:tc>
          <w:tcPr>
            <w:tcW w:w="788"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1,10 €/ m²</w:t>
            </w:r>
          </w:p>
        </w:tc>
        <w:tc>
          <w:tcPr>
            <w:tcW w:w="407"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60,00</w:t>
            </w:r>
            <w:r w:rsidRPr="00DE67FA">
              <w:rPr>
                <w:rFonts w:ascii="Verdana" w:eastAsia="Times New Roman" w:hAnsi="Verdana" w:cs="Times New Roman"/>
                <w:sz w:val="16"/>
                <w:szCs w:val="16"/>
                <w:lang w:eastAsia="es-ES"/>
              </w:rPr>
              <w:t>€</w:t>
            </w:r>
          </w:p>
        </w:tc>
        <w:tc>
          <w:tcPr>
            <w:tcW w:w="354" w:type="pct"/>
            <w:shd w:val="clear" w:color="auto" w:fill="FFFFFF"/>
            <w:vAlign w:val="center"/>
          </w:tcPr>
          <w:p w:rsidR="007F1848" w:rsidRDefault="007F1848" w:rsidP="007F1848">
            <w:pPr>
              <w:spacing w:before="100" w:beforeAutospacing="1" w:after="100" w:afterAutospacing="1"/>
              <w:jc w:val="center"/>
              <w:rPr>
                <w:rFonts w:ascii="Verdana" w:eastAsia="Times New Roman" w:hAnsi="Verdana" w:cs="Times New Roman"/>
                <w:sz w:val="16"/>
                <w:szCs w:val="16"/>
                <w:lang w:eastAsia="es-ES"/>
              </w:rPr>
            </w:pPr>
            <w:r>
              <w:rPr>
                <w:rFonts w:ascii="Verdana" w:eastAsia="Times New Roman" w:hAnsi="Verdana" w:cs="Times New Roman"/>
                <w:sz w:val="16"/>
                <w:szCs w:val="16"/>
                <w:lang w:eastAsia="es-ES"/>
              </w:rPr>
              <w:t>450,00€</w:t>
            </w:r>
          </w:p>
        </w:tc>
      </w:tr>
      <w:tr w:rsidR="007F1848" w:rsidRPr="00DE67FA" w:rsidTr="006A785C">
        <w:trPr>
          <w:tblCellSpacing w:w="15" w:type="dxa"/>
        </w:trPr>
        <w:tc>
          <w:tcPr>
            <w:tcW w:w="402" w:type="pct"/>
            <w:shd w:val="clear" w:color="auto" w:fill="FFFFFF"/>
            <w:vAlign w:val="center"/>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2.5</w:t>
            </w:r>
          </w:p>
        </w:tc>
        <w:tc>
          <w:tcPr>
            <w:tcW w:w="2944" w:type="pct"/>
            <w:shd w:val="clear" w:color="auto" w:fill="FFFFFF"/>
            <w:vAlign w:val="center"/>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Establecementos adicados a ferreterías e aluguer de maquinaria</w:t>
            </w:r>
          </w:p>
        </w:tc>
        <w:tc>
          <w:tcPr>
            <w:tcW w:w="788" w:type="pct"/>
            <w:shd w:val="clear" w:color="auto" w:fill="FFFFFF"/>
            <w:vAlign w:val="center"/>
          </w:tcPr>
          <w:p w:rsidR="007F1848"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1,3</w:t>
            </w:r>
            <w:r>
              <w:rPr>
                <w:rFonts w:ascii="Verdana" w:eastAsia="Times New Roman" w:hAnsi="Verdana" w:cs="Times New Roman"/>
                <w:sz w:val="16"/>
                <w:szCs w:val="16"/>
                <w:lang w:eastAsia="es-ES"/>
              </w:rPr>
              <w:t>0 €/ m²</w:t>
            </w:r>
          </w:p>
        </w:tc>
        <w:tc>
          <w:tcPr>
            <w:tcW w:w="407" w:type="pct"/>
            <w:shd w:val="clear" w:color="auto" w:fill="FFFFFF"/>
            <w:vAlign w:val="center"/>
          </w:tcPr>
          <w:p w:rsidR="007F1848"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140,00€</w:t>
            </w:r>
          </w:p>
        </w:tc>
        <w:tc>
          <w:tcPr>
            <w:tcW w:w="354" w:type="pct"/>
            <w:shd w:val="clear" w:color="auto" w:fill="FFFFFF"/>
            <w:vAlign w:val="center"/>
          </w:tcPr>
          <w:p w:rsidR="007F1848" w:rsidRDefault="007F1848" w:rsidP="00D11E90">
            <w:pPr>
              <w:spacing w:before="100" w:beforeAutospacing="1" w:after="100" w:afterAutospacing="1"/>
              <w:jc w:val="center"/>
              <w:rPr>
                <w:rFonts w:ascii="Verdana" w:eastAsia="Times New Roman" w:hAnsi="Verdana" w:cs="Times New Roman"/>
                <w:sz w:val="16"/>
                <w:szCs w:val="16"/>
                <w:lang w:eastAsia="es-ES"/>
              </w:rPr>
            </w:pPr>
            <w:r>
              <w:rPr>
                <w:rFonts w:ascii="Verdana" w:eastAsia="Times New Roman" w:hAnsi="Verdana" w:cs="Times New Roman"/>
                <w:sz w:val="16"/>
                <w:szCs w:val="16"/>
                <w:lang w:eastAsia="es-ES"/>
              </w:rPr>
              <w:t>450,00€</w:t>
            </w:r>
          </w:p>
        </w:tc>
      </w:tr>
      <w:tr w:rsidR="007F1848" w:rsidRPr="00DE67FA" w:rsidTr="007F1848">
        <w:trPr>
          <w:tblCellSpacing w:w="15" w:type="dxa"/>
        </w:trPr>
        <w:tc>
          <w:tcPr>
            <w:tcW w:w="402"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2.6</w:t>
            </w:r>
          </w:p>
        </w:tc>
        <w:tc>
          <w:tcPr>
            <w:tcW w:w="2911"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Outros establecementos non tarifados expresamente</w:t>
            </w:r>
            <w:r>
              <w:rPr>
                <w:rFonts w:ascii="Verdana" w:eastAsia="Times New Roman" w:hAnsi="Verdana" w:cs="Times New Roman"/>
                <w:sz w:val="16"/>
                <w:szCs w:val="16"/>
                <w:lang w:eastAsia="es-ES"/>
              </w:rPr>
              <w:t xml:space="preserve"> (ata 100 </w:t>
            </w:r>
            <w:r>
              <w:rPr>
                <w:rFonts w:ascii="Verdana" w:eastAsia="Times New Roman" w:hAnsi="Verdana" w:cs="Times New Roman"/>
                <w:sz w:val="16"/>
                <w:szCs w:val="16"/>
                <w:lang w:eastAsia="es-ES"/>
              </w:rPr>
              <w:t>m²</w:t>
            </w:r>
            <w:r>
              <w:rPr>
                <w:rFonts w:ascii="Verdana" w:eastAsia="Times New Roman" w:hAnsi="Verdana" w:cs="Times New Roman"/>
                <w:sz w:val="16"/>
                <w:szCs w:val="16"/>
                <w:lang w:eastAsia="es-ES"/>
              </w:rPr>
              <w:t>)</w:t>
            </w:r>
          </w:p>
        </w:tc>
        <w:tc>
          <w:tcPr>
            <w:tcW w:w="769"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1,30 €/ m²</w:t>
            </w:r>
          </w:p>
        </w:tc>
        <w:tc>
          <w:tcPr>
            <w:tcW w:w="407" w:type="pct"/>
            <w:shd w:val="clear" w:color="auto" w:fill="FFFFFF"/>
            <w:vAlign w:val="center"/>
            <w:hideMark/>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80,00</w:t>
            </w:r>
            <w:r w:rsidRPr="00DE67FA">
              <w:rPr>
                <w:rFonts w:ascii="Verdana" w:eastAsia="Times New Roman" w:hAnsi="Verdana" w:cs="Times New Roman"/>
                <w:sz w:val="16"/>
                <w:szCs w:val="16"/>
                <w:lang w:eastAsia="es-ES"/>
              </w:rPr>
              <w:t>€</w:t>
            </w:r>
          </w:p>
        </w:tc>
        <w:tc>
          <w:tcPr>
            <w:tcW w:w="407" w:type="pct"/>
            <w:shd w:val="clear" w:color="auto" w:fill="FFFFFF"/>
          </w:tcPr>
          <w:p w:rsidR="007F1848" w:rsidRDefault="007F1848" w:rsidP="00DE67FA">
            <w:pPr>
              <w:spacing w:before="100" w:beforeAutospacing="1" w:after="100" w:afterAutospacing="1"/>
              <w:rPr>
                <w:rFonts w:ascii="Verdana" w:eastAsia="Times New Roman" w:hAnsi="Verdana" w:cs="Times New Roman"/>
                <w:sz w:val="16"/>
                <w:szCs w:val="16"/>
                <w:lang w:eastAsia="es-ES"/>
              </w:rPr>
            </w:pPr>
          </w:p>
        </w:tc>
      </w:tr>
      <w:tr w:rsidR="007F1848" w:rsidRPr="00DE67FA" w:rsidTr="00D85E69">
        <w:trPr>
          <w:tblCellSpacing w:w="15" w:type="dxa"/>
        </w:trPr>
        <w:tc>
          <w:tcPr>
            <w:tcW w:w="402" w:type="pct"/>
            <w:shd w:val="clear" w:color="auto" w:fill="FFFFFF"/>
            <w:vAlign w:val="center"/>
          </w:tcPr>
          <w:p w:rsidR="007F1848" w:rsidRDefault="007F1848" w:rsidP="00DE67FA">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2.3.1</w:t>
            </w:r>
          </w:p>
        </w:tc>
        <w:tc>
          <w:tcPr>
            <w:tcW w:w="2911" w:type="pct"/>
            <w:shd w:val="clear" w:color="auto" w:fill="FFFFFF"/>
            <w:vAlign w:val="center"/>
          </w:tcPr>
          <w:p w:rsidR="007F1848" w:rsidRPr="00DE67FA" w:rsidRDefault="007F1848" w:rsidP="00DE67FA">
            <w:pPr>
              <w:spacing w:before="100" w:beforeAutospacing="1" w:after="100" w:afterAutospacing="1"/>
              <w:rPr>
                <w:rFonts w:ascii="Verdana" w:eastAsia="Times New Roman" w:hAnsi="Verdana" w:cs="Times New Roman"/>
                <w:sz w:val="16"/>
                <w:szCs w:val="16"/>
                <w:lang w:eastAsia="es-ES"/>
              </w:rPr>
            </w:pPr>
            <w:r w:rsidRPr="00DE67FA">
              <w:rPr>
                <w:rFonts w:ascii="Verdana" w:eastAsia="Times New Roman" w:hAnsi="Verdana" w:cs="Times New Roman"/>
                <w:sz w:val="16"/>
                <w:szCs w:val="16"/>
                <w:lang w:eastAsia="es-ES"/>
              </w:rPr>
              <w:t>Outros establecementos non tarifados expresamente</w:t>
            </w:r>
            <w:r>
              <w:rPr>
                <w:rFonts w:ascii="Verdana" w:eastAsia="Times New Roman" w:hAnsi="Verdana" w:cs="Times New Roman"/>
                <w:sz w:val="16"/>
                <w:szCs w:val="16"/>
                <w:lang w:eastAsia="es-ES"/>
              </w:rPr>
              <w:t xml:space="preserve"> (máis de</w:t>
            </w:r>
            <w:r>
              <w:rPr>
                <w:rFonts w:ascii="Verdana" w:eastAsia="Times New Roman" w:hAnsi="Verdana" w:cs="Times New Roman"/>
                <w:sz w:val="16"/>
                <w:szCs w:val="16"/>
                <w:lang w:eastAsia="es-ES"/>
              </w:rPr>
              <w:t xml:space="preserve"> 100 m²</w:t>
            </w:r>
            <w:r>
              <w:rPr>
                <w:rFonts w:ascii="Verdana" w:eastAsia="Times New Roman" w:hAnsi="Verdana" w:cs="Times New Roman"/>
                <w:sz w:val="16"/>
                <w:szCs w:val="16"/>
                <w:lang w:eastAsia="es-ES"/>
              </w:rPr>
              <w:t>)</w:t>
            </w:r>
          </w:p>
        </w:tc>
        <w:tc>
          <w:tcPr>
            <w:tcW w:w="769" w:type="pct"/>
            <w:shd w:val="clear" w:color="auto" w:fill="FFFFFF"/>
            <w:vAlign w:val="center"/>
          </w:tcPr>
          <w:p w:rsidR="007F1848" w:rsidRDefault="007F1848" w:rsidP="00D11E90">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1,3</w:t>
            </w:r>
            <w:r>
              <w:rPr>
                <w:rFonts w:ascii="Verdana" w:eastAsia="Times New Roman" w:hAnsi="Verdana" w:cs="Times New Roman"/>
                <w:sz w:val="16"/>
                <w:szCs w:val="16"/>
                <w:lang w:eastAsia="es-ES"/>
              </w:rPr>
              <w:t>0 €/ m²</w:t>
            </w:r>
          </w:p>
        </w:tc>
        <w:tc>
          <w:tcPr>
            <w:tcW w:w="407" w:type="pct"/>
            <w:shd w:val="clear" w:color="auto" w:fill="FFFFFF"/>
            <w:vAlign w:val="center"/>
          </w:tcPr>
          <w:p w:rsidR="007F1848" w:rsidRDefault="007F1848" w:rsidP="00D11E90">
            <w:pPr>
              <w:spacing w:before="100" w:beforeAutospacing="1" w:after="100" w:afterAutospacing="1"/>
              <w:rPr>
                <w:rFonts w:ascii="Verdana" w:eastAsia="Times New Roman" w:hAnsi="Verdana" w:cs="Times New Roman"/>
                <w:sz w:val="16"/>
                <w:szCs w:val="16"/>
                <w:lang w:eastAsia="es-ES"/>
              </w:rPr>
            </w:pPr>
            <w:r>
              <w:rPr>
                <w:rFonts w:ascii="Verdana" w:eastAsia="Times New Roman" w:hAnsi="Verdana" w:cs="Times New Roman"/>
                <w:sz w:val="16"/>
                <w:szCs w:val="16"/>
                <w:lang w:eastAsia="es-ES"/>
              </w:rPr>
              <w:t>140,00€</w:t>
            </w:r>
          </w:p>
        </w:tc>
        <w:tc>
          <w:tcPr>
            <w:tcW w:w="407" w:type="pct"/>
            <w:shd w:val="clear" w:color="auto" w:fill="FFFFFF"/>
            <w:vAlign w:val="center"/>
          </w:tcPr>
          <w:p w:rsidR="007F1848" w:rsidRDefault="007F1848" w:rsidP="00D11E90">
            <w:pPr>
              <w:spacing w:before="100" w:beforeAutospacing="1" w:after="100" w:afterAutospacing="1"/>
              <w:jc w:val="center"/>
              <w:rPr>
                <w:rFonts w:ascii="Verdana" w:eastAsia="Times New Roman" w:hAnsi="Verdana" w:cs="Times New Roman"/>
                <w:sz w:val="16"/>
                <w:szCs w:val="16"/>
                <w:lang w:eastAsia="es-ES"/>
              </w:rPr>
            </w:pPr>
            <w:r>
              <w:rPr>
                <w:rFonts w:ascii="Verdana" w:eastAsia="Times New Roman" w:hAnsi="Verdana" w:cs="Times New Roman"/>
                <w:sz w:val="16"/>
                <w:szCs w:val="16"/>
                <w:lang w:eastAsia="es-ES"/>
              </w:rPr>
              <w:t>450,00€</w:t>
            </w:r>
          </w:p>
        </w:tc>
      </w:tr>
    </w:tbl>
    <w:p w:rsidR="00DE67FA" w:rsidRDefault="00DE67FA" w:rsidP="00DE67FA"/>
    <w:p w:rsidR="00DE67FA" w:rsidRDefault="00DE67FA" w:rsidP="00DE67FA">
      <w:r>
        <w:t>3. -Normas específicas.</w:t>
      </w:r>
    </w:p>
    <w:p w:rsidR="00DE67FA" w:rsidRDefault="00DE67FA" w:rsidP="00DE67FA"/>
    <w:p w:rsidR="00DE67FA" w:rsidRDefault="00DE67FA" w:rsidP="00DE67FA">
      <w:r>
        <w:t>a) No caso das vivendas, tributarán pola taxa ainda que non estean ocupadas. A solicitude do interesado, mediante informe elaborado por técnico competente que acredite que non se atopan en condicións para ser habitables, daranse de baixa no padrón por un prazo máximo de tres exercicios, transcurrido o cal deberáse renovarse e acreditarse a baixa no padrón. En caso de agrupación ou división de vivendas, deberáse achegar igualmente o informe técnico que o acredite. A emisión do informe correspondente polos técnicos municipais suporá unha taxa foxa de 20,00 €</w:t>
      </w:r>
    </w:p>
    <w:p w:rsidR="00DE67FA" w:rsidRDefault="00DE67FA" w:rsidP="00DE67FA"/>
    <w:p w:rsidR="00DE67FA" w:rsidRDefault="00DE67FA" w:rsidP="00DE67FA">
      <w:r>
        <w:t>b) No caso de locales do epígrafe 2.1, para o cómputo da superficie afecta a actividade ademais da destinada ao público, a adicada a cociñas, aseos, e as terrazas interiores e exteriores en terreo privado.</w:t>
      </w:r>
    </w:p>
    <w:p w:rsidR="00DE67FA" w:rsidRDefault="00DE67FA" w:rsidP="00DE67FA"/>
    <w:p w:rsidR="00DE67FA" w:rsidRDefault="00DE67FA" w:rsidP="00DE67FA">
      <w:r>
        <w:t>c) No caso de locais do epígrafe 2.2, para o para o cómputo da superficie afecta a actividade incluirase a adicada a almacéns e outras dependencias accesorias a actividade principal.</w:t>
      </w:r>
    </w:p>
    <w:p w:rsidR="00DE67FA" w:rsidRDefault="00DE67FA" w:rsidP="00DE67FA"/>
    <w:p w:rsidR="00DE67FA" w:rsidRDefault="00DE67FA" w:rsidP="00DE67FA">
      <w:r>
        <w:t>d) Cando por un mesmo local se veñan desenvolvendo actividades que tributen en distintos conceptos, pagarase a tarifa correspondente á actividade cuxa tarifa sexa maior.</w:t>
      </w:r>
    </w:p>
    <w:p w:rsidR="00DE67FA" w:rsidRDefault="00DE67FA" w:rsidP="00DE67FA"/>
    <w:p w:rsidR="00B63118" w:rsidRDefault="00B63118" w:rsidP="00B63118">
      <w:r w:rsidRPr="00B63118">
        <w:t>e) As actividades industriais que teñan recollida específica de resíduos para a actividad</w:t>
      </w:r>
      <w:r>
        <w:t xml:space="preserve">e principal, únicamente pagarán </w:t>
      </w:r>
      <w:r w:rsidRPr="00B63118">
        <w:t>o importe mínimo do epígrafe correspondente.</w:t>
      </w:r>
    </w:p>
    <w:p w:rsidR="00B63118" w:rsidRPr="00B63118" w:rsidRDefault="00B63118" w:rsidP="00B63118"/>
    <w:p w:rsidR="00DE67FA" w:rsidRDefault="00B63118" w:rsidP="00B63118">
      <w:r w:rsidRPr="00B63118">
        <w:t>f) Para as actividades dos epígrafes 2.4, 2.5 e 2.6 computarase a totalidade dos me</w:t>
      </w:r>
      <w:r>
        <w:t xml:space="preserve">tros adicados á actividade, coa </w:t>
      </w:r>
      <w:r w:rsidRPr="00B63118">
        <w:t>cota máxima sinalada para o epígrafe correspondente</w:t>
      </w:r>
    </w:p>
    <w:p w:rsidR="00B63118" w:rsidRDefault="00B63118" w:rsidP="00B63118"/>
    <w:p w:rsidR="00B63118" w:rsidRPr="00B63118" w:rsidRDefault="00B63118" w:rsidP="00B63118"/>
    <w:p w:rsidR="00DE67FA" w:rsidRPr="00DE67FA" w:rsidRDefault="00DE67FA" w:rsidP="00DE67FA">
      <w:pPr>
        <w:ind w:firstLine="708"/>
        <w:rPr>
          <w:rFonts w:ascii="Verdana" w:hAnsi="Verdana"/>
          <w:b/>
          <w:bCs/>
          <w:color w:val="0071BE"/>
          <w:sz w:val="22"/>
          <w:shd w:val="clear" w:color="auto" w:fill="FFFFFF"/>
        </w:rPr>
      </w:pPr>
      <w:r w:rsidRPr="00DE67FA">
        <w:rPr>
          <w:rFonts w:ascii="Verdana" w:hAnsi="Verdana"/>
          <w:b/>
          <w:bCs/>
          <w:color w:val="0071BE"/>
          <w:sz w:val="22"/>
          <w:shd w:val="clear" w:color="auto" w:fill="FFFFFF"/>
        </w:rPr>
        <w:t>Artigo 6º. Devengo</w:t>
      </w:r>
    </w:p>
    <w:p w:rsidR="00DE67FA" w:rsidRDefault="00DE67FA" w:rsidP="00DE67FA"/>
    <w:p w:rsidR="00DE67FA" w:rsidRDefault="00DE67FA" w:rsidP="00DE67FA">
      <w:r>
        <w:t>1. Devengarase a Taxa e nacera a obriga de contribuír desde o momento en que se inicie a prestación do servicio, entendéndose iniciada, dada a natureza de recepción obrigatoria do mesmo, cando esté establecido e en funcionamento o servicio municipal de recollida de residuos.</w:t>
      </w:r>
    </w:p>
    <w:p w:rsidR="00DE67FA" w:rsidRDefault="00DE67FA" w:rsidP="00DE67FA"/>
    <w:p w:rsidR="00DE67FA" w:rsidRDefault="00DE67FA" w:rsidP="00DE67FA">
      <w:r>
        <w:t>2. Establecido e en funcionamento o referido servizo, as cotas devengaranse o primeiro día de cada ano natural, salvo que a alta ou baixa do servizo se producise con posterioridade á devandita data, en cuxo caso se prorrateará por trimestres naturais. Non producirá o prorrateo nos cambios de titularidade, unha vez transcurrido o devengo.</w:t>
      </w:r>
    </w:p>
    <w:p w:rsidR="00DE67FA" w:rsidRDefault="00DE67FA" w:rsidP="00DE67FA"/>
    <w:p w:rsidR="00DE67FA" w:rsidRDefault="00DE67FA" w:rsidP="00DE67FA"/>
    <w:p w:rsidR="00DE67FA" w:rsidRPr="00DE67FA" w:rsidRDefault="00DE67FA" w:rsidP="00DE67FA">
      <w:pPr>
        <w:ind w:firstLine="708"/>
        <w:rPr>
          <w:rFonts w:ascii="Verdana" w:hAnsi="Verdana"/>
          <w:b/>
          <w:bCs/>
          <w:color w:val="0071BE"/>
          <w:sz w:val="22"/>
          <w:shd w:val="clear" w:color="auto" w:fill="FFFFFF"/>
        </w:rPr>
      </w:pPr>
      <w:r w:rsidRPr="00DE67FA">
        <w:rPr>
          <w:rFonts w:ascii="Verdana" w:hAnsi="Verdana"/>
          <w:b/>
          <w:bCs/>
          <w:color w:val="0071BE"/>
          <w:sz w:val="22"/>
          <w:shd w:val="clear" w:color="auto" w:fill="FFFFFF"/>
        </w:rPr>
        <w:t>Artigo 7º. Xestión</w:t>
      </w:r>
    </w:p>
    <w:p w:rsidR="00DE67FA" w:rsidRDefault="00DE67FA" w:rsidP="00DE67FA"/>
    <w:p w:rsidR="00DE67FA" w:rsidRDefault="00DE67FA" w:rsidP="00DE67FA">
      <w:r>
        <w:t>1. O cobramento das cotas efectuarase anualmente mediante recibo derivado do padrón, liquidación ou autoliquidación, nos casos que correspondan.</w:t>
      </w:r>
    </w:p>
    <w:p w:rsidR="00DE67FA" w:rsidRDefault="00DE67FA" w:rsidP="00DE67FA"/>
    <w:p w:rsidR="00DE67FA" w:rsidRDefault="00DE67FA" w:rsidP="00DE67FA">
      <w:r>
        <w:t>2. De conformidade co artigo 102 da Lei 58/2003, Xeneral Tributaria, cando se presente unha alta ou se comunique a incorporación no padrón correspondente, non será necesaria a notificación de liquidacións posteriores e incorporaranse directamente os datos correspondentes aos padróns fiscais.</w:t>
      </w:r>
    </w:p>
    <w:p w:rsidR="00DE67FA" w:rsidRDefault="00DE67FA" w:rsidP="00DE67FA"/>
    <w:p w:rsidR="00DE67FA" w:rsidRDefault="00DE67FA" w:rsidP="00DE67FA">
      <w:r>
        <w:t>3. Os suxeitos pasivos veñen obrigados a formalizar a súa inscrición ou a variación de datos do padrón do tributo no prazo máximo de tres meses, presentando ao efecto a correspondente declaración de alta ou variación de datos, xunto cos documentos xustificativos, e ingresando, se procede, simultaneamente, mediante autoliquidación, a cota que corresponda.</w:t>
      </w:r>
    </w:p>
    <w:p w:rsidR="00DE67FA" w:rsidRDefault="00DE67FA" w:rsidP="00DE67FA"/>
    <w:p w:rsidR="00DE67FA" w:rsidRDefault="00DE67FA" w:rsidP="00DE67FA">
      <w:r>
        <w:t>4. A Administración poderá comprobar a realidade dos datos achegados polo interesado así como calquera outros que haxan de servir de base para o cálculo da cota correspondente e practicará, se fose procedente, a liquidación oportuna.</w:t>
      </w:r>
    </w:p>
    <w:p w:rsidR="00DE67FA" w:rsidRDefault="00DE67FA" w:rsidP="00DE67FA"/>
    <w:p w:rsidR="00DE67FA" w:rsidRDefault="00DE67FA" w:rsidP="00DE67FA">
      <w:r>
        <w:t>5. Cando se coñeza, de oficio ou por comunicación dos interesados, calquier variación dos datos figurados no padrón do tributo, levaránse a cabo as modificacions correspondientes. As alteracións ou variacións que supoñan cambio de tarifa, terán efectos no trimestre natural no que se produzan.</w:t>
      </w:r>
    </w:p>
    <w:p w:rsidR="00DE67FA" w:rsidRDefault="00DE67FA" w:rsidP="00DE67FA"/>
    <w:p w:rsidR="00DE67FA" w:rsidRDefault="00DE67FA" w:rsidP="00DE67FA"/>
    <w:p w:rsidR="00DE67FA" w:rsidRPr="00DE67FA" w:rsidRDefault="00DE67FA" w:rsidP="00DE67FA">
      <w:pPr>
        <w:rPr>
          <w:rFonts w:ascii="Verdana" w:hAnsi="Verdana"/>
          <w:b/>
          <w:bCs/>
          <w:color w:val="0071BE"/>
          <w:sz w:val="22"/>
          <w:shd w:val="clear" w:color="auto" w:fill="FFFFFF"/>
        </w:rPr>
      </w:pPr>
      <w:r w:rsidRPr="00DE67FA">
        <w:rPr>
          <w:rFonts w:ascii="Verdana" w:hAnsi="Verdana"/>
          <w:b/>
          <w:bCs/>
          <w:color w:val="0071BE"/>
          <w:sz w:val="22"/>
          <w:shd w:val="clear" w:color="auto" w:fill="FFFFFF"/>
        </w:rPr>
        <w:t>DISPOSICIÓN FINAL</w:t>
      </w:r>
    </w:p>
    <w:p w:rsidR="00DE67FA" w:rsidRDefault="00DE67FA" w:rsidP="00DE67FA"/>
    <w:p w:rsidR="001404B6" w:rsidRDefault="00DE67FA">
      <w:r>
        <w:t xml:space="preserve">A presente Ordenanza Fiscal entrará en vigor o día da súa publicación no Boletín Oficial da Provincia, e será de aplicación a partir do día 1 </w:t>
      </w:r>
      <w:r w:rsidR="00B63118">
        <w:t>de xaneiro de 2016</w:t>
      </w:r>
      <w:r>
        <w:t>, permanecendo en vigor ata a súa modificación ou derrogación expresas.</w:t>
      </w:r>
      <w:bookmarkStart w:id="0" w:name="_GoBack"/>
      <w:bookmarkEnd w:id="0"/>
    </w:p>
    <w:sectPr w:rsidR="001404B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EE" w:rsidRDefault="003C3AEE" w:rsidP="00DE67FA">
      <w:r>
        <w:separator/>
      </w:r>
    </w:p>
  </w:endnote>
  <w:endnote w:type="continuationSeparator" w:id="0">
    <w:p w:rsidR="003C3AEE" w:rsidRDefault="003C3AEE" w:rsidP="00DE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421796"/>
      <w:docPartObj>
        <w:docPartGallery w:val="Page Numbers (Bottom of Page)"/>
        <w:docPartUnique/>
      </w:docPartObj>
    </w:sdtPr>
    <w:sdtEndPr/>
    <w:sdtContent>
      <w:p w:rsidR="00DE67FA" w:rsidRDefault="00DE67FA">
        <w:pPr>
          <w:pStyle w:val="Piedepgina"/>
          <w:jc w:val="right"/>
        </w:pPr>
        <w:r>
          <w:fldChar w:fldCharType="begin"/>
        </w:r>
        <w:r>
          <w:instrText>PAGE   \* MERGEFORMAT</w:instrText>
        </w:r>
        <w:r>
          <w:fldChar w:fldCharType="separate"/>
        </w:r>
        <w:r w:rsidR="00B63118">
          <w:rPr>
            <w:noProof/>
          </w:rPr>
          <w:t>1</w:t>
        </w:r>
        <w:r>
          <w:fldChar w:fldCharType="end"/>
        </w:r>
      </w:p>
    </w:sdtContent>
  </w:sdt>
  <w:p w:rsidR="00DE67FA" w:rsidRDefault="00DE67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EE" w:rsidRDefault="003C3AEE" w:rsidP="00DE67FA">
      <w:r>
        <w:separator/>
      </w:r>
    </w:p>
  </w:footnote>
  <w:footnote w:type="continuationSeparator" w:id="0">
    <w:p w:rsidR="003C3AEE" w:rsidRDefault="003C3AEE" w:rsidP="00DE6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FA"/>
    <w:rsid w:val="001404B6"/>
    <w:rsid w:val="003C3AEE"/>
    <w:rsid w:val="007F1848"/>
    <w:rsid w:val="00B63118"/>
    <w:rsid w:val="00DE67FA"/>
    <w:rsid w:val="00EE4E9F"/>
    <w:rsid w:val="00F93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9F"/>
    <w:pPr>
      <w:spacing w:after="0"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4E9F"/>
  </w:style>
  <w:style w:type="character" w:styleId="Hipervnculo">
    <w:name w:val="Hyperlink"/>
    <w:basedOn w:val="Fuentedeprrafopredeter"/>
    <w:uiPriority w:val="99"/>
    <w:unhideWhenUsed/>
    <w:rsid w:val="00EE4E9F"/>
    <w:rPr>
      <w:color w:val="0000FF" w:themeColor="hyperlink"/>
      <w:u w:val="single"/>
    </w:rPr>
  </w:style>
  <w:style w:type="paragraph" w:styleId="Prrafodelista">
    <w:name w:val="List Paragraph"/>
    <w:basedOn w:val="Normal"/>
    <w:uiPriority w:val="34"/>
    <w:qFormat/>
    <w:rsid w:val="00EE4E9F"/>
    <w:pPr>
      <w:ind w:left="720"/>
      <w:contextualSpacing/>
    </w:pPr>
  </w:style>
  <w:style w:type="paragraph" w:styleId="Encabezado">
    <w:name w:val="header"/>
    <w:basedOn w:val="Normal"/>
    <w:link w:val="EncabezadoCar"/>
    <w:uiPriority w:val="99"/>
    <w:unhideWhenUsed/>
    <w:rsid w:val="00DE67FA"/>
    <w:pPr>
      <w:tabs>
        <w:tab w:val="center" w:pos="4252"/>
        <w:tab w:val="right" w:pos="8504"/>
      </w:tabs>
    </w:pPr>
  </w:style>
  <w:style w:type="character" w:customStyle="1" w:styleId="EncabezadoCar">
    <w:name w:val="Encabezado Car"/>
    <w:basedOn w:val="Fuentedeprrafopredeter"/>
    <w:link w:val="Encabezado"/>
    <w:uiPriority w:val="99"/>
    <w:rsid w:val="00DE67FA"/>
    <w:rPr>
      <w:sz w:val="24"/>
    </w:rPr>
  </w:style>
  <w:style w:type="paragraph" w:styleId="Piedepgina">
    <w:name w:val="footer"/>
    <w:basedOn w:val="Normal"/>
    <w:link w:val="PiedepginaCar"/>
    <w:uiPriority w:val="99"/>
    <w:unhideWhenUsed/>
    <w:rsid w:val="00DE67FA"/>
    <w:pPr>
      <w:tabs>
        <w:tab w:val="center" w:pos="4252"/>
        <w:tab w:val="right" w:pos="8504"/>
      </w:tabs>
    </w:pPr>
  </w:style>
  <w:style w:type="character" w:customStyle="1" w:styleId="PiedepginaCar">
    <w:name w:val="Pie de página Car"/>
    <w:basedOn w:val="Fuentedeprrafopredeter"/>
    <w:link w:val="Piedepgina"/>
    <w:uiPriority w:val="99"/>
    <w:rsid w:val="00DE67F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9F"/>
    <w:pPr>
      <w:spacing w:after="0"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4E9F"/>
  </w:style>
  <w:style w:type="character" w:styleId="Hipervnculo">
    <w:name w:val="Hyperlink"/>
    <w:basedOn w:val="Fuentedeprrafopredeter"/>
    <w:uiPriority w:val="99"/>
    <w:unhideWhenUsed/>
    <w:rsid w:val="00EE4E9F"/>
    <w:rPr>
      <w:color w:val="0000FF" w:themeColor="hyperlink"/>
      <w:u w:val="single"/>
    </w:rPr>
  </w:style>
  <w:style w:type="paragraph" w:styleId="Prrafodelista">
    <w:name w:val="List Paragraph"/>
    <w:basedOn w:val="Normal"/>
    <w:uiPriority w:val="34"/>
    <w:qFormat/>
    <w:rsid w:val="00EE4E9F"/>
    <w:pPr>
      <w:ind w:left="720"/>
      <w:contextualSpacing/>
    </w:pPr>
  </w:style>
  <w:style w:type="paragraph" w:styleId="Encabezado">
    <w:name w:val="header"/>
    <w:basedOn w:val="Normal"/>
    <w:link w:val="EncabezadoCar"/>
    <w:uiPriority w:val="99"/>
    <w:unhideWhenUsed/>
    <w:rsid w:val="00DE67FA"/>
    <w:pPr>
      <w:tabs>
        <w:tab w:val="center" w:pos="4252"/>
        <w:tab w:val="right" w:pos="8504"/>
      </w:tabs>
    </w:pPr>
  </w:style>
  <w:style w:type="character" w:customStyle="1" w:styleId="EncabezadoCar">
    <w:name w:val="Encabezado Car"/>
    <w:basedOn w:val="Fuentedeprrafopredeter"/>
    <w:link w:val="Encabezado"/>
    <w:uiPriority w:val="99"/>
    <w:rsid w:val="00DE67FA"/>
    <w:rPr>
      <w:sz w:val="24"/>
    </w:rPr>
  </w:style>
  <w:style w:type="paragraph" w:styleId="Piedepgina">
    <w:name w:val="footer"/>
    <w:basedOn w:val="Normal"/>
    <w:link w:val="PiedepginaCar"/>
    <w:uiPriority w:val="99"/>
    <w:unhideWhenUsed/>
    <w:rsid w:val="00DE67FA"/>
    <w:pPr>
      <w:tabs>
        <w:tab w:val="center" w:pos="4252"/>
        <w:tab w:val="right" w:pos="8504"/>
      </w:tabs>
    </w:pPr>
  </w:style>
  <w:style w:type="character" w:customStyle="1" w:styleId="PiedepginaCar">
    <w:name w:val="Pie de página Car"/>
    <w:basedOn w:val="Fuentedeprrafopredeter"/>
    <w:link w:val="Piedepgina"/>
    <w:uiPriority w:val="99"/>
    <w:rsid w:val="00DE67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64316">
      <w:bodyDiv w:val="1"/>
      <w:marLeft w:val="0"/>
      <w:marRight w:val="0"/>
      <w:marTop w:val="0"/>
      <w:marBottom w:val="0"/>
      <w:divBdr>
        <w:top w:val="none" w:sz="0" w:space="0" w:color="auto"/>
        <w:left w:val="none" w:sz="0" w:space="0" w:color="auto"/>
        <w:bottom w:val="none" w:sz="0" w:space="0" w:color="auto"/>
        <w:right w:val="none" w:sz="0" w:space="0" w:color="auto"/>
      </w:divBdr>
    </w:div>
    <w:div w:id="18575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2</cp:revision>
  <dcterms:created xsi:type="dcterms:W3CDTF">2016-04-15T15:53:00Z</dcterms:created>
  <dcterms:modified xsi:type="dcterms:W3CDTF">2016-04-15T15:53:00Z</dcterms:modified>
</cp:coreProperties>
</file>